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de2d" w14:textId="0f9de2d">
      <w:pPr>
        <w:pStyle w:val="TitleStyle"/>
        <w15:collapsed w:val="false"/>
      </w:pPr>
      <w:r>
        <w:t>Zmiana rozporządzenia w sprawie szczegółowych warunków i trybu przyznawania pomocy finansowej w ramach działania "Rolnictwo ekologiczne" objętego Programem Rozwoju Obszarów Wiejskich na lata 2014-2020.</w:t>
      </w:r>
    </w:p>
    <w:p>
      <w:pPr>
        <w:pStyle w:val="NormalStyle"/>
      </w:pPr>
      <w:r>
        <w:t>Dz.U.2016.610 z dnia 2016.04.29</w:t>
      </w:r>
    </w:p>
    <w:p>
      <w:pPr>
        <w:pStyle w:val="NormalStyle"/>
      </w:pPr>
      <w:r>
        <w:t>Status: Akt obowiązujący </w:t>
      </w:r>
    </w:p>
    <w:p>
      <w:pPr>
        <w:pStyle w:val="NormalStyle"/>
      </w:pPr>
      <w:r>
        <w:t>Wersja od: 29 kwietnia 2016 r. </w:t>
      </w:r>
    </w:p>
    <w:p>
      <w:pPr>
        <w:spacing w:before="587" w:after="0"/>
        <w:ind w:left="0"/>
        <w:jc w:val="center"/>
        <w:textAlignment w:val="auto"/>
      </w:pPr>
      <w:r>
        <w:rPr>
          <w:rFonts w:ascii="Times New Roman"/>
          <w:b/>
          <w:i w:val="false"/>
          <w:color w:val="000000"/>
          <w:sz w:val="36"/>
          <w:lang w:val="pl-Pl"/>
        </w:rPr>
        <w:t>ROZPORZĄDZENIE</w:t>
      </w:r>
    </w:p>
    <w:p>
      <w:pPr>
        <w:spacing w:after="0"/>
        <w:ind w:left="0"/>
        <w:jc w:val="center"/>
        <w:textAlignment w:val="auto"/>
      </w:pPr>
      <w:r>
        <w:rPr>
          <w:rFonts w:ascii="Times New Roman"/>
          <w:b/>
          <w:i w:val="false"/>
          <w:color w:val="000000"/>
          <w:sz w:val="36"/>
          <w:lang w:val="pl-Pl"/>
        </w:rPr>
        <w:t xml:space="preserve">MINISTRA ROLNICTWA I ROZWOJU WSI </w:t>
      </w:r>
      <w:r>
        <w:rPr>
          <w:rFonts w:ascii="Times New Roman"/>
          <w:b/>
          <w:i w:val="false"/>
          <w:color w:val="000000"/>
          <w:sz w:val="20"/>
          <w:vertAlign w:val="superscript"/>
          <w:lang w:val="pl-Pl"/>
        </w:rPr>
        <w:t>1</w:t>
      </w:r>
      <w:r>
        <w:rPr>
          <w:rFonts w:ascii="Times New Roman"/>
          <w:b/>
          <w:i w:val="false"/>
          <w:color w:val="000000"/>
          <w:sz w:val="36"/>
          <w:lang w:val="pl-Pl"/>
        </w:rPr>
        <w:t xml:space="preserve"> </w:t>
      </w:r>
    </w:p>
    <w:p>
      <w:pPr>
        <w:spacing w:before="320" w:after="0"/>
        <w:ind w:left="0"/>
        <w:jc w:val="center"/>
        <w:textAlignment w:val="auto"/>
      </w:pPr>
      <w:r>
        <w:rPr>
          <w:rFonts w:ascii="Times New Roman"/>
          <w:b w:val="false"/>
          <w:i w:val="false"/>
          <w:color w:val="000000"/>
          <w:sz w:val="30"/>
          <w:lang w:val="pl-Pl"/>
        </w:rPr>
        <w:t>z dnia 26 kwietnia 2016 r.</w:t>
      </w:r>
    </w:p>
    <w:p>
      <w:pPr>
        <w:spacing w:before="320" w:after="0"/>
        <w:ind w:left="0"/>
        <w:jc w:val="center"/>
        <w:textAlignment w:val="auto"/>
      </w:pPr>
      <w:r>
        <w:rPr>
          <w:rFonts w:ascii="Times New Roman"/>
          <w:b/>
          <w:i w:val="false"/>
          <w:color w:val="000000"/>
          <w:sz w:val="30"/>
          <w:lang w:val="pl-Pl"/>
        </w:rPr>
        <w:t>zmieniające rozporządzenie w sprawie szczegółowych warunków i trybu przyznawania pomocy finansowej w ramach działania "Rolnictwo ekologiczne" objętego Programem Rozwoju Obszarów Wiejskich na lata 2014-2020</w:t>
      </w:r>
    </w:p>
    <w:p>
      <w:pPr>
        <w:spacing w:before="32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45 ust. 1 pkt 1</w:t>
      </w:r>
      <w:r>
        <w:rPr>
          <w:rFonts w:ascii="Times New Roman"/>
          <w:b w:val="false"/>
          <w:i w:val="false"/>
          <w:color w:val="000000"/>
          <w:sz w:val="24"/>
          <w:lang w:val="pl-Pl"/>
        </w:rPr>
        <w:t xml:space="preserve"> i </w:t>
      </w:r>
      <w:r>
        <w:rPr>
          <w:rFonts w:ascii="Times New Roman"/>
          <w:b w:val="false"/>
          <w:i w:val="false"/>
          <w:color w:val="1b1b1b"/>
          <w:sz w:val="24"/>
          <w:lang w:val="pl-Pl"/>
        </w:rPr>
        <w:t>ust. 2</w:t>
      </w:r>
      <w:r>
        <w:rPr>
          <w:rFonts w:ascii="Times New Roman"/>
          <w:b w:val="false"/>
          <w:i w:val="false"/>
          <w:color w:val="000000"/>
          <w:sz w:val="24"/>
          <w:lang w:val="pl-Pl"/>
        </w:rPr>
        <w:t xml:space="preserve"> ustawy z dnia 20 lutego 2015 r. o wspieraniu rozwoju obszarów wiejskich z udziałem środków Europejskiego Funduszu Rolnego na rzecz Rozwoju Obszarów Wiejskich w ramach Programu Rozwoju Obszarów Wiejskich na lata 2014-2020 (Dz. U. poz. 349 i 1888 oraz z 2016 r. poz. 337) zarządza się, co następuje:</w:t>
      </w:r>
    </w:p>
    <w:p>
      <w:pPr>
        <w:spacing w:before="107"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w:t>
      </w:r>
      <w:r>
        <w:rPr>
          <w:rFonts w:ascii="Times New Roman"/>
          <w:b w:val="false"/>
          <w:i w:val="false"/>
          <w:color w:val="1b1b1b"/>
          <w:sz w:val="24"/>
          <w:lang w:val="pl-Pl"/>
        </w:rPr>
        <w:t>rozporządzeniu</w:t>
      </w:r>
      <w:r>
        <w:rPr>
          <w:rFonts w:ascii="Times New Roman"/>
          <w:b w:val="false"/>
          <w:i w:val="false"/>
          <w:color w:val="000000"/>
          <w:sz w:val="24"/>
          <w:lang w:val="pl-Pl"/>
        </w:rPr>
        <w:t xml:space="preserve"> Ministra Rolnictwa i Rozwoju Wsi z dnia 13 marca 2015 r. w sprawie szczegółowych warunków i trybu przyznawania pomocy finansowej w ramach działania "Rolnictwo ekologiczne" objętego Programem Rozwoju Obszarów Wiejskich na lata 2014-2020 (Dz. U. poz. 370 i 983 oraz z 2016 r. poz. 343) wprowadza się następujące zmiany: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 9</w:t>
      </w:r>
      <w:r>
        <w:rPr>
          <w:rFonts w:ascii="Times New Roman"/>
          <w:b w:val="false"/>
          <w:i w:val="false"/>
          <w:color w:val="000000"/>
          <w:sz w:val="24"/>
          <w:lang w:val="pl-Pl"/>
        </w:rPr>
        <w:t xml:space="preserve"> ust. 2b otrzymuje brzmienie:</w:t>
      </w:r>
    </w:p>
    <w:p>
      <w:pPr>
        <w:spacing w:before="213" w:after="240"/>
        <w:ind w:left="906"/>
        <w:jc w:val="both"/>
        <w:textAlignment w:val="auto"/>
      </w:pPr>
      <w:r>
        <w:rPr>
          <w:rFonts w:ascii="Times New Roman"/>
          <w:b w:val="false"/>
          <w:i w:val="false"/>
          <w:color w:val="000000"/>
          <w:sz w:val="24"/>
          <w:lang w:val="pl-Pl"/>
        </w:rPr>
        <w:t>"2b. W przypadku pakietów wymienionych w § 4 ust. 1 pkt 1 i 7 płatność ekologiczna do gruntów, na których występują następujące uprawy: esparceta siewna na materiał siewny, komonica zwyczajna na materiał siewny, koniczyna biała na materiał siewny, koniczyna białoróżowa na materiał siewny, koniczyna czerwona na materiał siewny, koniczyna krwistoczerwona na materiał siewny, koniczyna perska na materiał siewny, lucerna chmielowa (nerkowata) na materiał siewny, lucerna mieszańcowa na materiał siewny, lucerna siewna na materiał siewny, rzodkiew oleista na materiał siewny, trawy w siewie czystym z przeznaczeniem na materiał siewny, wyka kosmata na materiał siewny i wyka siewna na materiał siewny, jest przyznawana, jeżeli materiał siewny pochodzący z tych upraw został poddany ocenie na podstawie przepisów o nasiennictwie.";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 11</w:t>
      </w:r>
      <w:r>
        <w:rPr>
          <w:rFonts w:ascii="Times New Roman"/>
          <w:b w:val="false"/>
          <w:i w:val="false"/>
          <w:color w:val="000000"/>
          <w:sz w:val="24"/>
          <w:lang w:val="pl-Pl"/>
        </w:rPr>
        <w:t xml:space="preserve"> dotychczasową treść oznacza się jako ust. 1 i dodaje się ust. 2 w brzmieniu:</w:t>
      </w:r>
    </w:p>
    <w:p>
      <w:pPr>
        <w:spacing w:before="213" w:after="240"/>
        <w:ind w:left="906"/>
        <w:jc w:val="both"/>
        <w:textAlignment w:val="auto"/>
      </w:pPr>
      <w:r>
        <w:rPr>
          <w:rFonts w:ascii="Times New Roman"/>
          <w:b w:val="false"/>
          <w:i w:val="false"/>
          <w:color w:val="000000"/>
          <w:sz w:val="24"/>
          <w:lang w:val="pl-Pl"/>
        </w:rPr>
        <w:t>"2. Płatność ekologiczna w ramach pakietów wymienionych w § 4 ust. 1:</w:t>
      </w:r>
    </w:p>
    <w:p>
      <w:pPr>
        <w:spacing w:before="213" w:after="240"/>
        <w:ind w:left="906"/>
        <w:jc w:val="both"/>
        <w:textAlignment w:val="auto"/>
      </w:pPr>
      <w:r>
        <w:rPr>
          <w:rFonts w:ascii="Times New Roman"/>
          <w:b w:val="false"/>
          <w:i w:val="false"/>
          <w:color w:val="000000"/>
          <w:sz w:val="24"/>
          <w:lang w:val="pl-Pl"/>
        </w:rPr>
        <w:t>1) pkt 1, 5, 7 i 11 jest przyznawana także do gruntów ornych, na których występuje uprawa wyki kosmatej z rośliną podporową lub wyki siewnej z rośliną podporową;</w:t>
      </w:r>
    </w:p>
    <w:p>
      <w:pPr>
        <w:spacing w:before="213" w:after="240"/>
        <w:ind w:left="906"/>
        <w:jc w:val="both"/>
        <w:textAlignment w:val="auto"/>
      </w:pPr>
      <w:r>
        <w:rPr>
          <w:rFonts w:ascii="Times New Roman"/>
          <w:b w:val="false"/>
          <w:i w:val="false"/>
          <w:color w:val="000000"/>
          <w:sz w:val="24"/>
          <w:lang w:val="pl-Pl"/>
        </w:rPr>
        <w:t>2) pkt 2 i 8 jest przyznawana także do gruntów ornych, na których występuje uprawa soczewicy jadalnej z rośliną podporową.";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 17</w:t>
      </w:r>
      <w:r>
        <w:rPr>
          <w:rFonts w:ascii="Times New Roman"/>
          <w:b w:val="false"/>
          <w:i w:val="false"/>
          <w:color w:val="000000"/>
          <w:sz w:val="24"/>
          <w:lang w:val="pl-Pl"/>
        </w:rPr>
        <w:t xml:space="preserve"> po ust. 1a dodaje się ust. 1b w brzmieniu:</w:t>
      </w:r>
    </w:p>
    <w:p>
      <w:pPr>
        <w:spacing w:before="213" w:after="240"/>
        <w:ind w:left="906"/>
        <w:jc w:val="both"/>
        <w:textAlignment w:val="auto"/>
      </w:pPr>
      <w:r>
        <w:rPr>
          <w:rFonts w:ascii="Times New Roman"/>
          <w:b w:val="false"/>
          <w:i w:val="false"/>
          <w:color w:val="000000"/>
          <w:sz w:val="24"/>
          <w:lang w:val="pl-Pl"/>
        </w:rPr>
        <w:t>"1b. W przypadku, o którym mowa w art. 20 ust. 4 ustawy, we wniosku o przyznanie płatności ekologicznej rolnik składa oświadczenie, że ma tytuł prawny do gruntu wchodzącego w skład Zasobu Własności Rolnej Skarbu Państwa, do którego ubiega się o przyznanie tej płatności, w którym wskazuje, z czego wywodzi ten tytuł prawny.";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 19</w:t>
      </w:r>
      <w:r>
        <w:rPr>
          <w:rFonts w:ascii="Times New Roman"/>
          <w:b w:val="false"/>
          <w:i w:val="false"/>
          <w:color w:val="000000"/>
          <w:sz w:val="24"/>
          <w:lang w:val="pl-Pl"/>
        </w:rPr>
        <w:t xml:space="preserve"> ust. 5 otrzymuje brzmienie:</w:t>
      </w:r>
    </w:p>
    <w:p>
      <w:pPr>
        <w:spacing w:before="213" w:after="240"/>
        <w:ind w:left="906"/>
        <w:jc w:val="both"/>
        <w:textAlignment w:val="auto"/>
      </w:pPr>
      <w:r>
        <w:rPr>
          <w:rFonts w:ascii="Times New Roman"/>
          <w:b w:val="false"/>
          <w:i w:val="false"/>
          <w:color w:val="000000"/>
          <w:sz w:val="24"/>
          <w:lang w:val="pl-Pl"/>
        </w:rPr>
        <w:t>"5. W przypadku upraw, o których mowa w § 9 ust. 2b, rolnik składa do kierownika biura powiatowego Agencji do dnia 30 listopada roku, w którym złożył wniosek o przyznanie płatności ekologicznej, kopię świadectwa oceny</w:t>
      </w:r>
    </w:p>
    <w:p>
      <w:pPr>
        <w:spacing w:before="213" w:after="240"/>
        <w:ind w:left="906"/>
        <w:jc w:val="both"/>
        <w:textAlignment w:val="auto"/>
      </w:pPr>
      <w:r>
        <w:rPr>
          <w:rFonts w:ascii="Times New Roman"/>
          <w:b w:val="false"/>
          <w:i w:val="false"/>
          <w:color w:val="000000"/>
          <w:sz w:val="24"/>
          <w:lang w:val="pl-Pl"/>
        </w:rPr>
        <w:t>polowej materiału siewnego wydanego na podstawie przepisów o nasiennictwie lub zaświadczenie o wydaniu takiego świadectwa wydane przez właściwego ze względu na położenie plantacji nasiennej wojewódzkiego inspektora ochrony roślin i nasiennictwa, lub oświadczenie sporządzone na formularzu udostępnionym przez Agencję o posiadaniu plantacji nasiennej rośliny dwuletniej lub wieloletniej - w pierwszym roku uprawy tej rośliny.";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załącznik nr 4</w:t>
      </w:r>
      <w:r>
        <w:rPr>
          <w:rFonts w:ascii="Times New Roman"/>
          <w:b w:val="false"/>
          <w:i w:val="false"/>
          <w:color w:val="000000"/>
          <w:sz w:val="24"/>
          <w:lang w:val="pl-Pl"/>
        </w:rPr>
        <w:t xml:space="preserve"> do rozporządzenia otrzymuje brzmienie określone w załączniku do niniejszego rozporządzenia.</w:t>
      </w:r>
    </w:p>
    <w:p>
      <w:pPr>
        <w:spacing w:before="107"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Do przyznawania pomocy finansowej w ramach działania "Rolnictwo ekologiczne" objętego Programem Rozwoju Obszarów Wiejskich na lata 2014-2020, zwanej dalej "płatnością ekologiczną", w sprawach objętych postępowaniami: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wszczętymi i niezakończonymi ostateczną decyzją przed dniem 15 marca 2016 r.,</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zakończonymi ostateczną decyzją wydaną na podstawie przepisów dotychczasowych, w przypadku gdy zostały wznowione od dnia 15 marca 2016 r.</w:t>
      </w:r>
    </w:p>
    <w:p>
      <w:pPr>
        <w:spacing w:before="213" w:after="240"/>
        <w:ind w:left="533"/>
        <w:jc w:val="both"/>
        <w:textAlignment w:val="auto"/>
      </w:pPr>
      <w:r>
        <w:rPr>
          <w:rFonts w:ascii="Times New Roman"/>
          <w:b w:val="false"/>
          <w:i w:val="false"/>
          <w:color w:val="000000"/>
          <w:sz w:val="24"/>
          <w:lang w:val="pl-Pl"/>
        </w:rPr>
        <w:t>- stosuje się przepisy dotychczasowe.</w:t>
      </w:r>
    </w:p>
    <w:p>
      <w:pPr>
        <w:spacing w:before="107" w:after="24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Jeżeli we wniosku o przyznanie płatności ekologicznej za 2016 r. złożonym przed dniem wejścia w życie niniejszego rozporządzenia zadeklarowano następujące uprawy: facelia błękitna na materiał siewny, łubin biały na materiał siewny, łubin wąskolistny na materiał siewny lub łubin żółty na materiał siewny, płatność ta może być przyznana bez spełnienia warunku, o którym mowa w </w:t>
      </w:r>
      <w:r>
        <w:rPr>
          <w:rFonts w:ascii="Times New Roman"/>
          <w:b w:val="false"/>
          <w:i w:val="false"/>
          <w:color w:val="1b1b1b"/>
          <w:sz w:val="24"/>
          <w:lang w:val="pl-Pl"/>
        </w:rPr>
        <w:t>§ 9 ust. 2b</w:t>
      </w:r>
      <w:r>
        <w:rPr>
          <w:rFonts w:ascii="Times New Roman"/>
          <w:b w:val="false"/>
          <w:i w:val="false"/>
          <w:color w:val="000000"/>
          <w:sz w:val="24"/>
          <w:lang w:val="pl-Pl"/>
        </w:rPr>
        <w:t xml:space="preserve"> rozporządzenia zmienianego w § 1, do gruntów, na których występują odpowiednio następujące uprawy: facelia błękitna, łubin biały na nasiona, łubin wąskolistny na nasiona lub łubin żółty na nasiona.</w:t>
      </w:r>
    </w:p>
    <w:p>
      <w:pPr>
        <w:spacing w:before="107" w:after="24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 xml:space="preserve">W 2016 r. oświadczenie, o którym mowa w </w:t>
      </w:r>
      <w:r>
        <w:rPr>
          <w:rFonts w:ascii="Times New Roman"/>
          <w:b w:val="false"/>
          <w:i w:val="false"/>
          <w:color w:val="1b1b1b"/>
          <w:sz w:val="24"/>
          <w:lang w:val="pl-Pl"/>
        </w:rPr>
        <w:t>§ 17 ust. 1b</w:t>
      </w:r>
      <w:r>
        <w:rPr>
          <w:rFonts w:ascii="Times New Roman"/>
          <w:b w:val="false"/>
          <w:i w:val="false"/>
          <w:color w:val="000000"/>
          <w:sz w:val="24"/>
          <w:lang w:val="pl-Pl"/>
        </w:rPr>
        <w:t xml:space="preserve"> rozporządzenia zmienianego w § 1 w brzmieniu nadanym niniejszym rozporządzeniem, rolnik składa, w terminie do dnia 31 sierpnia 2016 r., na formularzu opracowanym i udostępnionym przez Agencję Restrukturyzacji i Modernizacji Rolnictwa.</w:t>
      </w:r>
    </w:p>
    <w:p>
      <w:pPr>
        <w:spacing w:before="107" w:after="24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Rozporządzenie wchodzi w życie z dniem następującym po dniu ogłoszenia.</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w:t>
      </w:r>
    </w:p>
    <w:p>
      <w:pPr>
        <w:spacing w:before="100" w:after="0"/>
        <w:ind w:left="0"/>
        <w:jc w:val="center"/>
        <w:textAlignment w:val="auto"/>
      </w:pPr>
      <w:r>
        <w:rPr>
          <w:rFonts w:ascii="Times New Roman"/>
          <w:b/>
          <w:i w:val="false"/>
          <w:color w:val="000000"/>
          <w:sz w:val="24"/>
          <w:lang w:val="pl-Pl"/>
        </w:rPr>
        <w:t>WYKAZ ROŚLIN OBJĘTYCH PŁATNOŚCIĄ EKOLOGICZNĄ</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1"/>
        <w:gridCol w:w="3388"/>
        <w:gridCol w:w="3127"/>
        <w:gridCol w:w="321"/>
        <w:gridCol w:w="260"/>
        <w:gridCol w:w="2736"/>
        <w:gridCol w:w="2549"/>
      </w:tblGrid>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Lp.</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Pakiet lub nazwa polska rośliny uprawnej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Nazwa łacińska gatunku</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Klasyfikacja dla potrzeb upraw w rolnictwie ekologicznym:</w:t>
            </w:r>
            <w:r>
              <w:rPr>
                <w:rFonts w:ascii="Times New Roman"/>
                <w:b/>
                <w:i w:val="false"/>
                <w:color w:val="000000"/>
                <w:sz w:val="24"/>
                <w:lang w:val="pl-Pl"/>
              </w:rPr>
              <w:t>R - uprawy rolnicze</w:t>
            </w:r>
            <w:r>
              <w:rPr>
                <w:rFonts w:ascii="Times New Roman"/>
                <w:b/>
                <w:i w:val="false"/>
                <w:color w:val="000000"/>
                <w:sz w:val="24"/>
                <w:lang w:val="pl-Pl"/>
              </w:rPr>
              <w:t>W - uprawy warzywne</w:t>
            </w:r>
            <w:r>
              <w:rPr>
                <w:rFonts w:ascii="Times New Roman"/>
                <w:b/>
                <w:i w:val="false"/>
                <w:color w:val="000000"/>
                <w:sz w:val="24"/>
                <w:lang w:val="pl-Pl"/>
              </w:rPr>
              <w:t>Z - uprawy roślin zielarskich</w:t>
            </w:r>
            <w:r>
              <w:rPr>
                <w:rFonts w:ascii="Times New Roman"/>
                <w:b/>
                <w:i w:val="false"/>
                <w:color w:val="000000"/>
                <w:sz w:val="24"/>
                <w:lang w:val="pl-Pl"/>
              </w:rPr>
              <w:t>S - podstawowe uprawy sadownicze</w:t>
            </w:r>
            <w:r>
              <w:rPr>
                <w:rFonts w:ascii="Times New Roman"/>
                <w:b/>
                <w:i w:val="false"/>
                <w:color w:val="000000"/>
                <w:sz w:val="24"/>
                <w:lang w:val="pl-Pl"/>
              </w:rPr>
              <w:t>Se - ekstensywne uprawy sadownicze</w:t>
            </w:r>
            <w:r>
              <w:rPr>
                <w:rFonts w:ascii="Times New Roman"/>
                <w:b/>
                <w:i w:val="false"/>
                <w:color w:val="000000"/>
                <w:sz w:val="24"/>
                <w:lang w:val="pl-Pl"/>
              </w:rPr>
              <w:t>P - uprawy paszowe na gruntach ornych</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Klasyfikacja roślin dla potrzeb sprawozdawczości:</w:t>
            </w:r>
            <w:r>
              <w:rPr>
                <w:rFonts w:ascii="Times New Roman"/>
                <w:b/>
                <w:i w:val="false"/>
                <w:color w:val="000000"/>
                <w:sz w:val="24"/>
                <w:lang w:val="pl-Pl"/>
              </w:rPr>
              <w:t>UR - uprawy roczne</w:t>
            </w:r>
            <w:r>
              <w:rPr>
                <w:rFonts w:ascii="Times New Roman"/>
                <w:b/>
                <w:i w:val="false"/>
                <w:color w:val="000000"/>
                <w:sz w:val="24"/>
                <w:lang w:val="pl-Pl"/>
              </w:rPr>
              <w:t>UD - uprawy dwuletnie</w:t>
            </w:r>
            <w:r>
              <w:rPr>
                <w:rFonts w:ascii="Times New Roman"/>
                <w:b/>
                <w:i w:val="false"/>
                <w:color w:val="000000"/>
                <w:sz w:val="24"/>
                <w:lang w:val="pl-Pl"/>
              </w:rPr>
              <w:t>UW - uprawy wieloletnie</w:t>
            </w:r>
            <w:r>
              <w:rPr>
                <w:rFonts w:ascii="Times New Roman"/>
                <w:b/>
                <w:i w:val="false"/>
                <w:color w:val="000000"/>
                <w:sz w:val="24"/>
                <w:lang w:val="pl-Pl"/>
              </w:rPr>
              <w:t>P - pozostałe</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 Pakiet 1. Uprawy rolnicze w okresie konwersji i Pakiet 7. Uprawy rolnicze po okresie konwersji</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bobik</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Vicia faba var. minor.</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burak cukrowy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Beta vulgaris ssp. vulgaris, convar. crassa var. altissima Doll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chmiel</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Humulus lupulus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cykoria siewna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Cichorium intybus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dynia oleista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pepo convar. styriaca Grebensc.</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esparceta siewna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Onobrychis viciifolia Scop.</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facelia błękitna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Phacelia tanacetifolia Benth.</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gorczyca biała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Sinapis alba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gorczyca czarna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nigra (L.) Koch</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gorczyca sarepska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juncea (L.) Czern.</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groch siewny (peluszka)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Pisum sativum L. (partim)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gryka zwyczajna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Fagopyrum esculentum Moench.</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inne gatunki pszenic</w:t>
            </w:r>
          </w:p>
        </w:tc>
        <w:tc>
          <w:tcPr>
            <w:tcW w:w="3127"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jęczmień jary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Hordeum vulgare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jęczmień ozimy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Hordeum vulgare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komonica zwyczajna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Lotus corniculatus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biała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repens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białoróżowa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hybridum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czerwona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pratense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krwistoczerwona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incarnatum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perska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resupinatum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kukurydza na ziarno</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Zea mays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len oleisty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Linum usitatissimum L. convar. Mediterraneum (Vavilov ex Ell.) Kulpa et Danert</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len włóknisty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Linum usitatissimum L. convar. usitatissimum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lnianka siewna (lnicznik)</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Camelina sativa (L.) Crantz</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chmielowa (nerkowata)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lupulina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mieszańcowa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x varia T. Martyn</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siewna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sativa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łubin biały na nasiona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Lupinus albus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łubin wąskolistny na nasiona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Lupinus angustifolius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łubin żółty na nasiona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Lupinus luteus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strączkowo-zbożowa</w:t>
            </w:r>
          </w:p>
        </w:tc>
        <w:tc>
          <w:tcPr>
            <w:tcW w:w="3127"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zbożowa</w:t>
            </w:r>
          </w:p>
        </w:tc>
        <w:tc>
          <w:tcPr>
            <w:tcW w:w="3127"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nostrzyk biały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Melilotus albus Medik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nostrzyk biały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Melilotus albus Medik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owies</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Avena sativa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owies szorstki</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Avena strigosa Schleb.</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proso</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Panicum miliaceum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zwyczajna jara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aestivum L. emend. Fiori et Paol.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zwyczajna ozima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aestivum L. emend. Fiori et Paol.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samopsza jara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monococcum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samopsza ozima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monococcum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płaskurka jara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dicoccum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płaskurka ozima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dicoccum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orkisz jara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spelta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orkisz ozima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spelta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pszenżyto jare</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x Triticosecale Wittm.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pszenżyto ozime</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x Triticosecale Wittm.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rzepak jary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napus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rzepak ozimy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napus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rzepik</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rapa var. typica Posp.</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rzodkiew oleista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Raphanus sativus var. oleiformis Pers.</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seradela uprawna na nasiona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Ornithopus sativus Brot.</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słonecznik oleisty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Helianthus annuus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soja zwyczajna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Glycine max (L.) Merrill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szarłat z wyjątkiem A. retroflexus</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Amaranthus spp.</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trawy w siewie czystym z przeznaczeniem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trawy w siewie czystym z przeznaczeniem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wyka kosmata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Vicia villosa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wyka siewna na materiał siewny</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Vicia sativa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jare</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ozime</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L.</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krzyca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var. multicaule Metzg. ex Alef.</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krzyca</w:t>
            </w:r>
          </w:p>
        </w:tc>
        <w:tc>
          <w:tcPr>
            <w:tcW w:w="312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var. multicaule Metzg. ex Alef.</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 Pakiet 2. Uprawy warzywne w okresie konwersji i Pakiet 8. Uprawy warzywne po okresie konwersji</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arbuz (kawon)</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Citrullus vulgaris (Thunb.) Matsum et Nakai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bób</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Vicia faba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brokuł włoski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italica Plenck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brukiew jadalna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napus var. napobrassica (L.) Rchb.</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burak ćwikłowy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Beta vulgaris ssp. vulgaris, convar. crassa var. Conditiva Alef.</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burak liściowy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Beta vulgaris ssp. vulgaris convar. vulgaris var. ciclą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cebula szalotka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cepa grupa aggregatum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cebula perłowa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ampeloprasum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cebula siedmiolatka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fistulosum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cebula zwyczajna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cepa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chrzan pospolity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Armoracia rusticana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cukinia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pepo var. giromontina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cykoria warzywna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Cichorium intybus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czosnek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sativum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dynia olbrzymia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maxima Duch.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dynia piżmowa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moschata Duch.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dynia zwyczajna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pepo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fasola wielokwiatowa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Phaseolus coccineus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fasola zwykła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Phaseolus vulgaris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groch cukrowy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Pisum sativum var. saccharatum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groch łuskowy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Pisum sativum var. pachylobum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jarmuż</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acephala subvar. Sabellica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kalafior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botrytis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kalarepa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gongylodes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brukselska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gemmifera (DC.) Schwarz</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chińska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rapa var. chinensis</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głowiasta biała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capitata f. alba (L.) Duchesene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głowiasta czerwona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capitata f. rubra (L.) Duchesene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pekińska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rapa var. pekinensis</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włoska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var. italica Plenck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karczoch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Cynara scolymus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karczoch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Cynara scolymus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koper ogrodowy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Anethum graveolens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koper włoski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Foeniculum vulgare Mill.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kukurydza cukrowa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Zea mays var. saccharata (Sturtev.) Zhuk.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marchew jadalna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Daucus carota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oberżyna (bakłażan)</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Solanum melongera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ogórek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Cucumis sativus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papryka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Capsicum annuum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pasternak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Pastinaca sativa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patison</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pepo var. patissonina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pietruszka korzeniowa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Petroselinum sativum ssp. tuberosum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pietruszka naciowa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Petroselinum sativum ssp. crispum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pomidor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Lycopersicon esculentum Mill.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porrum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rabarbar ogrodowy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Rheum rhaponticum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roszponka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Valerianella olitoria (L.) Latter. Em. Betcke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rzepa jadalna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campestris var. rapa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rzodkiew</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Raphanus sativus var. niger Kerner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rzodkiewka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Raphanus sativus var. sativus</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sałata zwyczajna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Lactuca sativa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seler korzeniowy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Apium graveolens var. Rapaceum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seler naciowy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Apium graveolens var. dulce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soczewica jadalna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Lens culinaris Medik.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szczaw</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Rumex acetosa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szczypiorek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schoenoprasum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szparag</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Asparagus officinalis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szpinak zwyczajny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Spinacia oleracea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ziemniak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Solanum tuberosum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III. Pakiet 3. Uprawy zielarskie w okresie konwersji i Pakiet 9. Uprawy zielarskie po okresie konwersji</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arcydzięgiel litwor</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Archangelica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babka lancetowata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Plantago lanceolata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bazylia pospolita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Ocimum basilicum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bylica estragon</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Artemisia dracunculus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czarnuszka siewna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Nigella sativa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cząber ogrodowy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Satureja hortensis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czosnek niedźwiedzi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Allium ursinum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drapacz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Cnicus benedictus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dziurawiec zwyczajny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Hypericum perforatum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hyzop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Hyssopus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jeżówka purpurowa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Echinacea purpurea</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kminek zwyczajny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Carum carvi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kolendra siewna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Coriandrum sativum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kozieradka pospolita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Trigonella foenum graecum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kozłek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Valeriana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kozłek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Valeriana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krwawnik pospolity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Achillea millefolium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lawenda wąskolistna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Lavandula angustifolia Mill.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lebiodka pospolita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Origanum vulgare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lubczyk ogrodowy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Levisticum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majeranek ogrodowy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Origanum majorana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malwa czarna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Althea rosea (L.) Cav.</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melisa lekarska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Melissa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mięta kędzierzawa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Mentha crispa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mięta pieprzowa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Mentha piperita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mniszek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Taraxacum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nagietek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Calendula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nostrzyk żółty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Melilotus officinalis (L.) Pall.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nostrzyk żółty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Melilotus officinalis (L.) Pall.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ogórecznik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Borago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ostropest plamisty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Silybum marianum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prawoślaz lekarski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Althaea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różeniec górski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Rhodiola rosea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ruta zwyczajna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Ruta graveolens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rumian rzymski (szlachetny)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Anthemis nobilis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rumianek pospolity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Chamomilla recutita (L.) Rauch.</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rutwica lekarska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Galega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rzewień dłoniasty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Rheum palmatum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serdecznik pospolity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Leonurus cardiaca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szałwia lekarska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Salvia officinalis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szanta zwyczajna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Marrubium vulgare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ślaz dziki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Malva sylvestris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tymianek właściwy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Thymus vulgaris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wiesiołek dwuletni</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Oenothera biennis L.</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żeń-szeń prawdziwy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Panax ginseng C.A. Mey</w:t>
            </w:r>
          </w:p>
        </w:tc>
        <w:tc>
          <w:tcPr>
            <w:tcW w:w="273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IV. Pakiet 4. Uprawy sadownicze w okresie konwersji (Wariant 4.1.1. Podstawowe uprawy sadownicze w okresie konwersji</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i Pakiet 10. Uprawy sadownicze po okresie konwersji (Wariant 10.1.1. Podstawowe uprawy sadownicze po okresie konwersji</w:t>
            </w:r>
            <w:r>
              <w:rPr>
                <w:rFonts w:ascii="Times New Roman"/>
                <w:b w:val="false"/>
                <w:i w:val="false"/>
                <w:color w:val="000000"/>
                <w:sz w:val="24"/>
                <w:vertAlign w:val="superscript"/>
                <w:lang w:val="pl-Pl"/>
              </w:rPr>
              <w:t>*)</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agrest (porzeczka agrest)</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borówka wysoka i średnia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brzoskwinia i nektaryna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czereśnia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grusza domowa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jabłoń domowa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jeżyna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morela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porzeczka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śliwa domowa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winorośl</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wiśnia pospolita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 Pakiet 4. Uprawy sadownicze w okresie konwersji (Wariant 4.1.2. Uprawy jagodowe w okresie konwersji - wybrane rośliny) i Pakiet 10. Uprawy sadownicze po okresie konwersji (Wariant 10.1.2. Uprawy jagodowe po okresie konwersji - wybrane rośliny)</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malina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poziomka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truskawka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 Pakiet 4. Uprawy sadownicze w okresie konwersji (Wariant 4.2. Ekstensywne uprawy sadownicze w okresie konwersji</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i Pakiet 10. Uprawy sadownicze po okresie konwersji (Wariant 10.2. Ekstensywne uprawy sadownicze po okresie konwersji</w:t>
            </w:r>
            <w:r>
              <w:rPr>
                <w:rFonts w:ascii="Times New Roman"/>
                <w:b w:val="false"/>
                <w:i w:val="false"/>
                <w:color w:val="000000"/>
                <w:sz w:val="24"/>
                <w:vertAlign w:val="superscript"/>
                <w:lang w:val="pl-Pl"/>
              </w:rPr>
              <w:t>*)</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aronia czarnoowocowa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bez czarny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borówka brusznica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borówka niska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dereń jadalny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jagoda kamczacka (sucho- drzew jadalny)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pigwa pospolita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rokitnik zwyczajny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róża dzika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róża pomarszczona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śliwa japońska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VII. Pakiet 5. Uprawy paszowe na gruntach ornych w okresie konwersji i Pakiet 11. Uprawy paszowe na gruntach ornych po okresie konwersji</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brukiew pastewna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napus var. napobrassica (L.) Rchb.</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660"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burak pastewny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Beta vulgaris ssp. vulgarisconvar. crassa var. crassa Alef.</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dynia pastewna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Cucurbita pepo convar. Pepo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esparceta siewna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Onobrychis vicifolia Scop.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groch siewny (peluszka)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Pisum sativum L. (partim)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jęczmień jary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Hordeum vulgare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jęczmień ozimy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Hordeum vulgare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kapusta pastewna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oleracea convar. acephala (DC.) Alef.</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komonica zwyczajna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Lotus corniculatus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biała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repens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białoróżowa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hybridum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czerwona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pratense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krwistoczerwona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incarnatum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koniczyna perska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Trifolium resupinatum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kukurydza na kiszonkę</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Zea mays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lędźwian siewny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Lathyrus sativus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chmielowa (nerko-</w:t>
            </w:r>
          </w:p>
          <w:p>
            <w:pPr>
              <w:spacing w:before="100" w:after="0"/>
              <w:ind w:left="0"/>
              <w:jc w:val="left"/>
              <w:textAlignment w:val="auto"/>
            </w:pPr>
            <w:r>
              <w:rPr>
                <w:rFonts w:ascii="Times New Roman"/>
                <w:b w:val="false"/>
                <w:i w:val="false"/>
                <w:color w:val="000000"/>
                <w:sz w:val="24"/>
                <w:lang w:val="pl-Pl"/>
              </w:rPr>
              <w:t>wata)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lupulina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mieszańcowa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x varia T. Martyn</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sierpowata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falcata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lucerna siewna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Medicago sativa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łąka przemienna</w:t>
            </w:r>
            <w:r>
              <w:rPr>
                <w:rFonts w:ascii="Times New Roman"/>
                <w:b w:val="false"/>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marchew pastewna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Daucus carota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jednoroczna traw</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jednoroczna traw z bobowatymi drobnonasiennymi</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strączkowo-</w:t>
            </w:r>
          </w:p>
          <w:p>
            <w:pPr>
              <w:spacing w:before="100" w:after="0"/>
              <w:ind w:left="0"/>
              <w:jc w:val="left"/>
              <w:textAlignment w:val="auto"/>
            </w:pPr>
            <w:r>
              <w:rPr>
                <w:rFonts w:ascii="Times New Roman"/>
                <w:b w:val="false"/>
                <w:i w:val="false"/>
                <w:color w:val="000000"/>
                <w:sz w:val="24"/>
                <w:lang w:val="pl-Pl"/>
              </w:rPr>
              <w:t>-zbożowa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strączkowo-</w:t>
            </w:r>
          </w:p>
          <w:p>
            <w:pPr>
              <w:spacing w:before="100" w:after="0"/>
              <w:ind w:left="0"/>
              <w:jc w:val="left"/>
              <w:textAlignment w:val="auto"/>
            </w:pPr>
            <w:r>
              <w:rPr>
                <w:rFonts w:ascii="Times New Roman"/>
                <w:b w:val="false"/>
                <w:i w:val="false"/>
                <w:color w:val="000000"/>
                <w:sz w:val="24"/>
                <w:lang w:val="pl-Pl"/>
              </w:rPr>
              <w:t>-gorczycowa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strączkowa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strączkowo-</w:t>
            </w:r>
          </w:p>
          <w:p>
            <w:pPr>
              <w:spacing w:before="100" w:after="0"/>
              <w:ind w:left="0"/>
              <w:jc w:val="left"/>
              <w:textAlignment w:val="auto"/>
            </w:pPr>
            <w:r>
              <w:rPr>
                <w:rFonts w:ascii="Times New Roman"/>
                <w:b w:val="false"/>
                <w:i w:val="false"/>
                <w:color w:val="000000"/>
                <w:sz w:val="24"/>
                <w:lang w:val="pl-Pl"/>
              </w:rPr>
              <w:t>-słonecznikowa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zbożowa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wieloletnia traw</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mieszanka wieloletnia traw z bobowatymi drobnonasiennymi</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owies</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Avena sativa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owies nagi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Avena nuda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pastwisko przemienne</w:t>
            </w:r>
            <w:r>
              <w:rPr>
                <w:rFonts w:ascii="Times New Roman"/>
                <w:b w:val="false"/>
                <w:i w:val="false"/>
                <w:color w:val="000000"/>
                <w:sz w:val="24"/>
                <w:vertAlign w:val="superscript"/>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zwyczajna jara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aestivum L. emend. Fiori et Paol.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zwyczajna ozima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aestivum L. emend. Fiori et Paol.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samopsza jara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monococcum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samopsza ozima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monococcum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płaskurka jara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dicoccum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płaskurka ozima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dicoccum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orkisz jary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spelta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pszenica orkisz ozimy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Triticum spelta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pszenżyto jare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x Triticosecale Wittm.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pszenżyto ozime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x Triticosecale Wittm.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rzepa pastewna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Brassica rapa subsp. rapa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rzodkiew oleista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Raphanus sativus var. oleiformis Pers.</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rutwica wschodnia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Galega orientalis Lam.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UW</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seradela uprawna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Ornithopus sativus Brot.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49</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słonecznik pastewny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Helianthus annuus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sorgo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Sorghum spp.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topinambur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Helianthus tuberosus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wyka kosmata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Vicia villosa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53</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wyka siewna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Vicia sativa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54</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jare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55</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ozime</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L.</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56</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krzyca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var. multicaule Metzg. ex Alef.</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w:t>
            </w:r>
          </w:p>
        </w:tc>
      </w:tr>
      <w:tr>
        <w:trPr>
          <w:trHeight w:val="45" w:hRule="atLeast"/>
        </w:trPr>
        <w:tc>
          <w:tcPr>
            <w:tcW w:w="6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57</w:t>
            </w:r>
          </w:p>
        </w:tc>
        <w:tc>
          <w:tcPr>
            <w:tcW w:w="33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żyto krzyca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Secale cereale var. multicaule Metzg. ex Alef.</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w:t>
            </w:r>
          </w:p>
        </w:tc>
        <w:tc>
          <w:tcPr>
            <w:tcW w:w="25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w:t>
            </w:r>
          </w:p>
        </w:tc>
      </w:tr>
    </w:tbl>
    <w:p>
      <w:pPr>
        <w:spacing w:after="0"/>
        <w:ind w:left="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Nazwy botaniczne roślin odnoszą się do odmian roślin uprawnych.</w:t>
      </w:r>
    </w:p>
    <w:p>
      <w:pPr>
        <w:spacing w:before="213" w:after="240"/>
        <w:ind w:left="533"/>
        <w:jc w:val="both"/>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Łąka przemienna i pastwisko przemienne - uprawa traw lub innych upraw zielnych na gruntach ornych objętych płodozmianem w okresie krótszym niż pięć lat.</w:t>
      </w:r>
    </w:p>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Minister Rolnictwa i Rozwoju Wsi kieruje działem administracji rządowej - rozwój wsi, na podstawie </w:t>
      </w:r>
      <w:r>
        <w:rPr>
          <w:rFonts w:ascii="Times New Roman"/>
          <w:b w:val="false"/>
          <w:i w:val="false"/>
          <w:color w:val="1b1b1b"/>
          <w:sz w:val="24"/>
          <w:lang w:val="pl-Pl"/>
        </w:rPr>
        <w:t>§ 1 ust. 2 pkt 2</w:t>
      </w:r>
      <w:r>
        <w:rPr>
          <w:rFonts w:ascii="Times New Roman"/>
          <w:b w:val="false"/>
          <w:i w:val="false"/>
          <w:color w:val="000000"/>
          <w:sz w:val="24"/>
          <w:lang w:val="pl-Pl"/>
        </w:rPr>
        <w:t xml:space="preserve">  rozporządzenia Prezesa Rady Ministrów z dnia 17 listopada 2015 r. w sprawie szczegółowego zakresu działania Ministra Rolnictwa i Rozwoju Wsi (Dz. U. poz. 1906).</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